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680"/>
        <w:gridCol w:w="7937"/>
      </w:tblGrid>
      <w:tr>
        <w:tc>
          <w:tcPr>
            <w:tcW w:type="dxa" w:w="4986"/>
            <w:shd w:fill="0D47A1"/>
          </w:tcPr>
          <w:p/>
        </w:tc>
        <w:tc>
          <w:tcPr>
            <w:tcW w:type="dxa" w:w="4986"/>
            <w:shd w:fill="E3F2FD"/>
          </w:tcPr>
          <w:p>
            <w:r>
              <w:rPr>
                <w:rFonts w:ascii="Calibri" w:hAnsi="Calibri" w:eastAsia="Calibri"/>
                <w:b/>
                <w:i w:val="0"/>
                <w:color w:val="1565C0"/>
                <w:sz w:val="22"/>
              </w:rPr>
              <w:t>Presentacion academica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0D47A1"/>
          <w:sz w:val="60"/>
        </w:rPr>
        <w:t>Portada para valenciano para libretas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1565C0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Valenciano Para Libretas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00ACC1"/>
          <w:sz w:val="20"/>
        </w:rPr>
        <w:t>Estilo Academica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