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1B5E20"/>
          <w:sz w:val="36"/>
        </w:rPr>
        <w:t>Organigrama — Brigada de Cocina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Basado en la brigada clásica de Escoffier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5656"/>
            <w:gridSpan w:val="4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Chef Ejecutivo/a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</w:tr>
      <w:tr>
        <w:trPr>
          <w:trHeight w:val="200" w:hRule="exact"/>
        </w:trPr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5656"/>
            <w:gridSpan w:val="4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Sous Chef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  <w:tc>
          <w:tcPr>
            <w:tcW w:type="dxa" w:w="1414"/>
          </w:tcPr>
          <w:p/>
        </w:tc>
      </w:tr>
      <w:tr>
        <w:trPr>
          <w:trHeight w:val="200" w:hRule="exact"/>
        </w:trPr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828"/>
            <w:gridSpan w:val="2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Chef de Partida</w:t>
              <w:br/>
              <w:t>Entrantes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Chef de Partida</w:t>
              <w:br/>
              <w:t>Carnes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Chef de Partida</w:t>
              <w:br/>
              <w:t>Pescados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Chef de Partida</w:t>
              <w:br/>
              <w:t>Repostería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1B5E20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Chef de Partida</w:t>
              <w:br/>
              <w:t>Garde Manger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|</w:t>
            </w:r>
          </w:p>
        </w:tc>
        <w:tc>
          <w:tcPr>
            <w:tcW w:type="dxa" w:w="1414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  <w:gridSpan w:val="2"/>
            <w:shd w:fill="E8F5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Las partidas pueden variar según el tipo de cocina y el volumen del restaurante.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Garde Manger se encarga de platos fríos, ensaladas y preparaciones en crudo.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En cocinas más pequeñas, un mismo chef de partida puede cubrir varias secciones.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