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1E8449"/>
          <w:sz w:val="44"/>
        </w:rPr>
        <w:t>Social Business Model Canvas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Variante para empresas sociales e impacto — Basado en Osterwalder + Yunus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52BE80"/>
          <w:left w:val="single" w:sz="6" w:space="0" w:color="52BE80"/>
          <w:bottom w:val="single" w:sz="6" w:space="0" w:color="52BE80"/>
          <w:right w:val="single" w:sz="6" w:space="0" w:color="52BE80"/>
          <w:insideH w:val="single" w:sz="4" w:space="0" w:color="52BE80"/>
          <w:insideV w:val="single" w:sz="4" w:space="0" w:color="52BE80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rHeight w:val="170"/>
        </w:trPr>
        <w:tc>
          <w:tcPr>
            <w:tcW w:type="dxa" w:w="14145"/>
            <w:gridSpan w:val="5"/>
            <w:shd w:fill="1E8449" w:val="clear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📋 BUSINESS MODEL CANVAS</w:t>
            </w:r>
          </w:p>
        </w:tc>
      </w:tr>
      <w:tr>
        <w:trPr>
          <w:trHeight w:val="3118"/>
        </w:trPr>
        <w:tc>
          <w:tcPr>
            <w:tcW w:type="dxa" w:w="2829"/>
            <w:vMerge w:val="restart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🌍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Socios e Impacto Social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Organizaciones sociales, ONGs, administraciones públicas, comunidades beneficiarias...</w:t>
            </w:r>
          </w:p>
        </w:tc>
        <w:tc>
          <w:tcPr>
            <w:tcW w:type="dxa" w:w="2829"/>
            <w:shd w:fill="D5F5E3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🔧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Actividades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Actividades que generan impacto social directo además de valor económico...</w:t>
            </w:r>
          </w:p>
        </w:tc>
        <w:tc>
          <w:tcPr>
            <w:tcW w:type="dxa" w:w="2829"/>
            <w:vMerge w:val="restart"/>
            <w:shd w:fill="FEF9E7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🌱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D6608"/>
                <w:sz w:val="20"/>
              </w:rPr>
              <w:t>Propuesta de Valor Social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¿Qué problema social resuelves? ¿Qué impacto generas en la comunidad? ¿Qué ODS abordas?...</w:t>
            </w:r>
          </w:p>
        </w:tc>
        <w:tc>
          <w:tcPr>
            <w:tcW w:type="dxa" w:w="2829"/>
            <w:shd w:fill="D5F5E3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🤲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Relación con Beneficiarios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¿Cómo te relacionas con las comunidades beneficiarias? Participación, cocreación...</w:t>
            </w:r>
          </w:p>
        </w:tc>
        <w:tc>
          <w:tcPr>
            <w:tcW w:type="dxa" w:w="2829"/>
            <w:vMerge w:val="restart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🎯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Beneficiarios y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Beneficiarios directos (impacto social) y clientes que financian la operación...</w:t>
            </w:r>
          </w:p>
        </w:tc>
      </w:tr>
      <w:tr>
        <w:trPr>
          <w:trHeight w:val="3118"/>
        </w:trPr>
        <w:tc>
          <w:tcPr>
            <w:tcW w:type="dxa" w:w="2829"/>
            <w:vMerge/>
          </w:tcPr>
          <w:p/>
        </w:tc>
        <w:tc>
          <w:tcPr>
            <w:tcW w:type="dxa" w:w="2829"/>
            <w:shd w:fill="D5F5E3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💪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Recursos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Voluntarios, fondos públicos, infraestructura social, conocimiento local, tecnología social...</w:t>
            </w:r>
          </w:p>
        </w:tc>
        <w:tc>
          <w:tcPr>
            <w:tcW w:type="dxa" w:w="2829"/>
            <w:vMerge/>
          </w:tcPr>
          <w:p/>
        </w:tc>
        <w:tc>
          <w:tcPr>
            <w:tcW w:type="dxa" w:w="2829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📡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Canales de Impacto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¿Cómo llegas a tus beneficiarios? Redes comunitarias, plataformas digitales, terreno...</w:t>
            </w:r>
          </w:p>
        </w:tc>
        <w:tc>
          <w:tcPr>
            <w:tcW w:type="dxa" w:w="2829"/>
            <w:vMerge/>
          </w:tcPr>
          <w:p/>
        </w:tc>
      </w:tr>
      <w:tr>
        <w:trPr>
          <w:trHeight w:val="2268"/>
        </w:trPr>
        <w:tc>
          <w:tcPr>
            <w:tcW w:type="dxa" w:w="8487"/>
            <w:gridSpan w:val="3"/>
            <w:shd w:fill="F0F3F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📋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Estructura de Costes + Impacto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Costes operativos, costes sociales, inversión en impacto, métricas de coste por beneficiario...</w:t>
            </w:r>
          </w:p>
        </w:tc>
        <w:tc>
          <w:tcPr>
            <w:tcW w:type="dxa" w:w="5658"/>
            <w:gridSpan w:val="2"/>
            <w:shd w:fill="F0F3F6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💚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E8449"/>
                <w:sz w:val="20"/>
              </w:rPr>
              <w:t>Fuentes de Financiación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Subvenciones, donaciones, ingresos por servicios, crowdfunding, inversión de impacto, bonos sociales...</w:t>
            </w:r>
          </w:p>
        </w:tc>
      </w:tr>
    </w:tbl>
    <w:p/>
    <w:p>
      <w:pPr>
        <w:jc w:val="center"/>
      </w:pPr>
      <w:r>
        <w:rPr>
          <w:rFonts w:ascii="Calibri" w:hAnsi="Calibri"/>
          <w:b/>
          <w:color w:val="1E8449"/>
          <w:sz w:val="24"/>
        </w:rPr>
        <w:t>📊 Indicadores de Impacto Social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52BE80"/>
          <w:left w:val="single" w:sz="4" w:space="0" w:color="52BE80"/>
          <w:bottom w:val="single" w:sz="4" w:space="0" w:color="52BE80"/>
          <w:right w:val="single" w:sz="4" w:space="0" w:color="52BE80"/>
          <w:insideH w:val="single" w:sz="4" w:space="0" w:color="52BE80"/>
          <w:insideV w:val="single" w:sz="4" w:space="0" w:color="52BE80"/>
        </w:tblBorders>
      </w:tblPr>
      <w:tblGrid>
        <w:gridCol w:w="3535"/>
        <w:gridCol w:w="3535"/>
        <w:gridCol w:w="3535"/>
        <w:gridCol w:w="3535"/>
      </w:tblGrid>
      <w:tr>
        <w:tc>
          <w:tcPr>
            <w:tcW w:type="dxa" w:w="3535"/>
            <w:shd w:fill="1E8449" w:val="clea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Indicador</w:t>
            </w:r>
          </w:p>
        </w:tc>
        <w:tc>
          <w:tcPr>
            <w:tcW w:type="dxa" w:w="3535"/>
            <w:shd w:fill="1E8449" w:val="clea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Objetivo</w:t>
            </w:r>
          </w:p>
        </w:tc>
        <w:tc>
          <w:tcPr>
            <w:tcW w:type="dxa" w:w="3535"/>
            <w:shd w:fill="1E8449" w:val="clea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Resultado actual</w:t>
            </w:r>
          </w:p>
        </w:tc>
        <w:tc>
          <w:tcPr>
            <w:tcW w:type="dxa" w:w="3535"/>
            <w:shd w:fill="1E8449" w:val="clear"/>
          </w:tcPr>
          <w:p>
            <w:pPr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ODS relacionado</w:t>
            </w:r>
          </w:p>
        </w:tc>
      </w:tr>
      <w:tr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Beneficiarios directos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500 personas/año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i/>
                <w:color w:val="AAAAAA"/>
                <w:sz w:val="16"/>
              </w:rPr>
              <w:t>Completar...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ODS 1, 10</w:t>
            </w:r>
          </w:p>
        </w:tc>
      </w:tr>
      <w:tr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Empleo generado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20 puestos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i/>
                <w:color w:val="AAAAAA"/>
                <w:sz w:val="16"/>
              </w:rPr>
              <w:t>Completar...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ODS 8</w:t>
            </w:r>
          </w:p>
        </w:tc>
      </w:tr>
      <w:tr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Reducción de emisiones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30% menos CO₂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i/>
                <w:color w:val="AAAAAA"/>
                <w:sz w:val="16"/>
              </w:rPr>
              <w:t>Completar...</w:t>
            </w:r>
          </w:p>
        </w:tc>
        <w:tc>
          <w:tcPr>
            <w:tcW w:type="dxa" w:w="3535"/>
            <w:shd w:fill="EAFAF1" w:val="clear"/>
          </w:tcPr>
          <w:p>
            <w:r>
              <w:rPr>
                <w:rFonts w:ascii="Calibri" w:hAnsi="Calibri"/>
                <w:sz w:val="16"/>
              </w:rPr>
              <w:t>ODS 13</w:t>
            </w:r>
          </w:p>
        </w:tc>
      </w:tr>
      <w:tr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Formación impartida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200 horas/año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i/>
                <w:color w:val="AAAAAA"/>
                <w:sz w:val="16"/>
              </w:rPr>
              <w:t>Completar...</w:t>
            </w:r>
          </w:p>
        </w:tc>
        <w:tc>
          <w:tcPr>
            <w:tcW w:type="dxa" w:w="3535"/>
            <w:shd w:fill="FFFFFF" w:val="clear"/>
          </w:tcPr>
          <w:p>
            <w:r>
              <w:rPr>
                <w:rFonts w:ascii="Calibri" w:hAnsi="Calibri"/>
                <w:sz w:val="16"/>
              </w:rPr>
              <w:t>ODS 4</w:t>
            </w:r>
          </w:p>
        </w:tc>
      </w:tr>
    </w:tbl>
    <w:p/>
    <w:p>
      <w:pPr>
        <w:jc w:val="center"/>
      </w:pPr>
      <w:r>
        <w:rPr>
          <w:rFonts w:ascii="Calibri" w:hAnsi="Calibri"/>
          <w:color w:val="999999"/>
          <w:sz w:val="16"/>
        </w:rPr>
        <w:t>Social Business Model Canvas — Inspirado en Osterwalder y Muhammad Yunus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