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>
      <w:pPr>
        <w:spacing w:after="80" w:before="0"/>
        <w:jc w:val="left"/>
      </w:pPr>
      <w:r>
        <w:rPr>
          <w:b/>
          <w:i w:val="0"/>
          <w:color w:val="1A1A2E"/>
          <w:sz w:val="32"/>
        </w:rPr>
        <w:t>CUADRO DE MANDO INTEGRAL (KPI DASHBOARD)</w:t>
      </w:r>
    </w:p>
    <w:p>
      <w:pPr>
        <w:spacing w:after="360" w:before="0"/>
        <w:jc w:val="left"/>
      </w:pPr>
      <w:r>
        <w:rPr>
          <w:b w:val="0"/>
          <w:i w:val="0"/>
          <w:color w:val="6B7280"/>
          <w:sz w:val="20"/>
        </w:rPr>
        <w:t>KPI DASHBOARD · ESG</w:t>
      </w:r>
    </w:p>
    <w:p>
      <w:pPr>
        <w:spacing w:after="280" w:before="0"/>
        <w:jc w:val="left"/>
      </w:pPr>
      <w:r>
        <w:rPr>
          <w:b w:val="0"/>
          <w:i w:val="0"/>
          <w:color w:val="2DB47A"/>
          <w:sz w:val="24"/>
        </w:rPr>
        <w:t>────────────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(BSC Kaplan-Norton HBR 1992 · ISO 9004 · EFQM · OKR · Six Sigma DMAIC)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Empresa: [ Razón social ]  ·  Grupo: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Ámbito: [ Corporativo · Unidad de negocio · Departamento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Período: [ Mes / Trimestre / Año ___ /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Metodología: [ BSC Kaplan-Norton · OKR Google · EFQM · 6 Sigma DMAIC · combinación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Director / CFO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1. PERSPECTIVA FINANCIERA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Rentabilidad: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ROI (Return on Investment):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ROE (Return on Equity):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ROA (Return on Assets):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EBITDA: [ ___% ] · Objetivo [ ___% ] · Semáforo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Margen bruto: [ ___% ] · Objetivo [ ___% ] · Semáforo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Crecimiento: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growth YoY: [ ___% ] · Objetivo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CAGR 3 años (Compound Annual Growth Rate):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EVA (Economic Value Added):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Liquidez y solvencia: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corriente (activo corriente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Test ácido (activo corriente - existencias / pasivo corriente): [ __ 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PMC (Período Medio Cobro):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PMP (Período Medio Pago):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Días de tesorería (runway):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deuda / EBITDA: [ ___ x · objetivo &lt;3x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Cobertura de intereses (EBIT/intereses): [ ___ x · objetivo &gt;4x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2. PERSPECTIVA CLIENTE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Satisfacción y lealtad: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(Net Promoter Score cliente): [ __ · rango -100 a +100 ]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CSAT (Customer Satisfaction):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CES (Customer Effort Score): [ __ · rango 1-7 ]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Cuota de mercado: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Retención de clientes: [ ___% · churn rate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Adquisición comercial: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Revenue del período: [ ___ EUR ] · Objetivo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Nuevos clientes captados: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Ticket medio: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total: [ ___ EUR ] · Weighted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Pipeline coverage ratio: [ __ x · objetivo 3-5x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Conversion rates (TOFU→MOFU · MOFU→BOFU · BOFU→cierre): [ __% · __% · 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Ciclo de venta medio: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LTV (Lifetime Value):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(Cost of Acquisition): [ ___ EUR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Ratio LTV/CAC: [ ___ x · objetivo &gt;=3x según Skok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CAC payback period: [ ___ meses · objetivo &lt;=12 meses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Métricas SaaS (si aplica): ARR/MRR · NRR · Gross Revenue Retention (GRR)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3. PERSPECTIVA PROCESOS INTERNOS (Balanced Scorecard)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Eficiencia operativa: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OEE (Overall Equipment Effectiveness) = Disponibilidad × Rendimiento × Calidad: [ ___% · objetivo &gt;=85% JIPM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Lead time (tiempo entrega):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On-time delivery: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Capacidad utilizada: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Productividad por FTE: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Calidad: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Defect rate: [ ___ ppm · objetivo &lt;100 ppm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First Time Right (FTR):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Coste calidad / no calidad: [ ___% del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Reclamaciones cliente: [ ___ · Trend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ISO 9001:2015 non conformities: [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Mantenimiento e ingeniería: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MTBF (Mean Time Between Failures):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MTTR (Mean Time To Repair): [ ___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Availability = MTBF / (MTBF + MTTR):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Inventory turnover: [ ___ x/año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Days Inventory Outstanding (DIO): [ ___ días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Digital / tecnología (si aplica):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Uptime plataforma / SaaS: [ ___% · objetivo 99,9%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Response time medio: [ ___ ms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NPS producto / usabilidad: [ 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market (features): [ ___ semanas/meses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4. PERSPECTIVA APRENDIZAJE Y CRECIMIENTO (BSC · Personas)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Talento: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FTE total: [ ___ personas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eNPS (employee Net Promoter Score, Reichheld/Bain): [ __ · objetivo &gt;20 ]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Engagement score: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Turnover rate anual: [ ___% · voluntario ___% / involuntario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Absenteeism rate: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Time to Hire (TTH): [ ___ días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Cost per Hire: [ ___ EUR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Desarrollo: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Horas formación / FTE: [ ___ h/año · objetivo &gt;=40h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plantilla con plan de desarrollo individual: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Promociones internas del período: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Diversidad (mujeres · &lt;30 años · discapacidad · seniority mix): [ ___% cada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Brecha salarial de género (RD 902/2020): [ ___%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Cultura e innovación: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presentadas por empleados (buzón sugerencias):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Ideas implementadas: [ ___ · ratio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Índice de innovación (revenue de productos &lt;3 años):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Certificaciones activas (ISO, EFQM, Great Place to Work):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5. PERSPECTIVA SOSTENIBILIDAD (ESG · CSRD UE 2022/2464)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Environmental (Ambiental):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1 (emisiones directas):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2 (electricidad comprada):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Huella carbono Scope 3 (cadena de valor · 70-90% total): [ ___ tCO2eq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Intensidad carbono: [ tCO2eq / M€ revenue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energético: [ ___ MWh · % renovable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Consumo agua: [ ___ m³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Residuos: [ ___ tn · % reciclados 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Social: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LTIFR (Lost Time Injury Frequency Rate): [ ___ · por millón horas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Accidentes con baja: [ 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Formación seguridad/FTE: [ ___ h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plantilla: [ ___% ] · en dirección: [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personas con discapacidad: [ ___% · obligación LGDPD 2% &gt;50 FTE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Inversión comunidad (RSC): [ ___ EUR · % revenue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Governance: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Denuncias canal interno (Ley 2/2023): [ ___ · resueltas ___%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Consejo con consejeros independientes: [ ___% · objetivo &gt;=1/3 según CNMV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% mujeres en Consejo: [ ___% · objetivo 40% Ley 15/2022 desde 2026 ]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Certificación anticorrupción (ISO 37001): [ Sí · No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Rating ESG externo: [ MSCI ___ · Sustainalytics ___ · CDP ___ · DJSI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Alineación ODS Agenda 2030 (Objetivos de Desarrollo Sostenible ONU):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5 Igualdad de género: [ Impacto y avance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8 Trabajo decente y crecimiento económico: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12 Producción y consumo responsables: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ODS 13 Acción por el clima: [ Impacto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Otros ODS materiales para el sector: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6. SEMÁFORO GLOBAL Y CONCLUSIONES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financiera: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cliente: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procesos internos: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aprendizaje/personas: [ VERDE · ÁMBAR · ROJO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· Perspectiva sostenibilidad ESG: [ VERDE · ÁMBAR · ROJO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alertas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Top-3 éxitos del período: [ ______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Acciones inmediatas requeridas: [ ______ ]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APROBACIÓN</w:t>
      </w:r>
    </w:p>
    <w:p>
      <w:pPr>
        <w:spacing w:after="120" w:before="0"/>
        <w:jc w:val="left"/>
      </w:pPr>
      <w:r>
        <w:rPr>
          <w:b w:val="0"/>
          <w:i w:val="0"/>
          <w:color w:val="111111"/>
          <w:sz w:val="16"/>
        </w:rPr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Elaborado por: [ Controller / Business Analytics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Revisado por: [ Director financiero / Director general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Aprobado por: [ CEO / Comité Dirección ]</w:t>
      </w:r>
    </w:p>
    <w:p>
      <w:pPr>
        <w:spacing w:after="80" w:before="0" w:line="336" w:lineRule="auto"/>
        <w:jc w:val="left"/>
      </w:pPr>
      <w:r>
        <w:rPr>
          <w:b w:val="0"/>
          <w:i w:val="0"/>
          <w:color w:val="1A1A2E"/>
          <w:sz w:val="22"/>
        </w:rPr>
        <w:t>Fecha: [ ___ / ___ / ___ ]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