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071"/>
            <w:shd w:fill="0F2A47" w:val="clear"/>
          </w:tcPr>
          <w:p>
            <w:pPr>
              <w:spacing w:before="360" w:after="80"/>
            </w:pPr>
            <w:r>
              <w:rPr>
                <w:b/>
                <w:color w:val="FFFFFF"/>
                <w:sz w:val="28"/>
              </w:rPr>
              <w:t xml:space="preserve">  CUADRO DE MANDO INTEGRAL (KPI DASHBOARD)</w:t>
            </w:r>
          </w:p>
          <w:p>
            <w:pPr>
              <w:spacing w:after="160"/>
            </w:pPr>
            <w:r>
              <w:rPr>
                <w:color w:val="C9A24A"/>
                <w:sz w:val="22"/>
              </w:rPr>
              <w:t xml:space="preserve">  KPI DASHBOARD · PERSONAS</w:t>
            </w:r>
          </w:p>
        </w:tc>
      </w:tr>
      <w:tr>
        <w:tc>
          <w:tcPr>
            <w:tcW w:type="dxa" w:w="9071"/>
            <w:shd w:fill="C9A24A" w:val="clear"/>
          </w:tcPr>
          <w:p>
            <w:pPr>
              <w:spacing w:before="160" w:after="160"/>
            </w:pPr>
            <w:r>
              <w:rPr>
                <w:color w:val="1A1A2E"/>
                <w:sz w:val="20"/>
              </w:rPr>
              <w:t xml:space="preserve">  KPI Dashboard A4 · BSC · azul · Mercer · Aon · Reichheld</w:t>
            </w:r>
          </w:p>
        </w:tc>
      </w:tr>
    </w:tbl>
    <w:p/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Empresa: [ Razón social ]  ·  Grupo: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Ámbito: [ Corporativo · Unidad de negocio · Departamento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Período: [ Mes / Trimestre / Año ___ /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Metodología: [ BSC Kaplan-Norton · OKR Google · EFQM · 6 Sigma DMAIC · combinación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1. PERSPECTIVA FINANCIERA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Rentabilidad: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ROI (Return on Investment):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ROE (Return on Equity):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ROA (Return on Assets):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Margen EBITDA: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Margen bruto: [ ___% ] · Objetivo [ ___% ] · Semáforo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Crecimiento: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Revenue growth YoY: [ ___% ] · Objetivo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CAGR 3 años (Compound Annual Growth Rate):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EVA (Economic Value Added):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Liquidez y solvencia: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corriente (activo corriente / pasivo corriente): [ __ 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Test ácido (activo corriente - existencias / pasivo corriente): [ __ 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PMC (Período Medio Cobro):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PMP (Período Medio Pago):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Días de tesorería (runway):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deuda / EBITDA: [ ___ x · objetivo &lt;3x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Cobertura de intereses (EBIT/intereses): [ ___ x · objetivo &gt;4x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2. PERSPECTIVA CLIENTE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Satisfacción y lealtad: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NPS (Net Promoter Score cliente): [ __ · rango -100 a +100 ]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CSAT (Customer Satisfaction):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CES (Customer Effort Score): [ __ · rango 1-7 ]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Cuota de mercado: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Retención de clientes: [ ___% · churn rate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Adquisición comercial: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Revenue del período: [ ___ EUR ] · Objetivo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Nuevos clientes captados: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Ticket medio: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Pipeline total: [ ___ EUR ] · Weighted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Pipeline coverage ratio: [ __ x · objetivo 3-5x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Conversion rates (TOFU→MOFU · MOFU→BOFU · BOFU→cierre): [ __% · __% · 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Ciclo de venta medio: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LTV (Lifetime Value):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CAC (Cost of Acquisition):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LTV/CAC: [ ___ x · objetivo &gt;=3x según Skok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CAC payback period: [ ___ meses · objetivo &lt;=12 meses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Métricas SaaS (si aplica):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3. PERSPECTIVA PROCESOS INTERNOS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Eficiencia operativa: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OEE (Overall Equipment Effectiveness) = Disponibilidad × Rendimiento × Calidad: [ ___% · objetivo &gt;=85% JIPM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Lead time (tiempo entrega):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On-time delivery: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Capacidad utilizada: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Productividad por FTE: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Calidad: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Defect rate: [ ___ ppm · objetivo &lt;100 ppm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First Time Right (FTR):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Coste calidad / no calidad: [ ___% del revenue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Reclamaciones cliente: [ ___ · Trend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ISO 9001:2015 non conformities: [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Mantenimiento e ingeniería: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MTBF (Mean Time Between Failures): [ ___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MTTR (Mean Time To Repair): [ ___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Availability = MTBF / (MTBF + MTTR):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Inventory turnover: [ ___ x/año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Days Inventory Outstanding (DIO): [ ___ días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Digital / tecnología (si aplica):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Uptime plataforma / SaaS: [ ___% · objetivo 99,9%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Response time medio: [ ___ ms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NPS producto / usabilidad: [ 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Time to market (features): [ ___ semanas/meses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4. PERSPECTIVA APRENDIZAJE Y CRECIMIENTO (BSC · Personas)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Talento: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FTE total: [ ___ personas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eNPS (employee Net Promoter Score, Reichheld/Bain): [ __ · objetivo &gt;20 ]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Engagement score: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Turnover rate anual: [ ___% · voluntario ___% / involuntario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Absenteeism rate: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Time to Hire (TTH):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Cost per Hire: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Desarrollo: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Horas formación / FTE: [ ___ h/año · objetivo &gt;=40h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plantilla con plan de desarrollo individual: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Promociones internas del período: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Diversidad (mujeres · &lt;30 años · discapacidad · seniority mix): [ ___% cada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Brecha salarial de género (RD 902/2020): [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Cultura e innovación: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Ideas presentadas por empleados (buzón sugerencias):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Ideas implementadas: [ ___ · ratio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Índice de innovación (revenue de productos &lt;3 años):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Certificaciones activas (ISO, EFQM, Great Place to Work):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5. PERSPECTIVA SOSTENIBILIDAD (ESG · CSRD UE 2022/2464)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Environmental (Ambiental):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1 (emisiones directas):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2 (electricidad comprada):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3 (cadena de valor · 70-90% total):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Intensidad carbono: [ tCO2eq / M€ revenue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Consumo energético: [ ___ MWh · % renovable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Consumo agua: [ ___ m³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Residuos: [ ___ tn · % reciclados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LTIFR (Lost Time Injury Frequency Rate): [ ___ · por millón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Accidentes con baja: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Formación seguridad/FTE: [ ___ h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mujeres en plantilla: [ ___% ] · en dirección: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personas con discapacidad: [ ___% · obligación LGDPD 2% &gt;50 FTE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Inversión comunidad (RSC): [ ___ EUR · % revenue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Denuncias canal interno (Ley 2/2023): [ ___ · resueltas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Consejo con consejeros independientes: [ ___% · objetivo &gt;=1/3 según CNMV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mujeres en Consejo: [ ___% · objetivo 40% Ley 15/2022 desde 2026 ]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Certificación anticorrupción (ISO 37001): [ Sí · No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Rating ESG externo: [ MSCI ___ · Sustainalytics ___ · CDP ___ · DJSI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Alineación ODS Agenda 2030 (Objetivos de Desarrollo Sostenible ONU):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5 Igualdad de género: [ Impacto y avance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8 Trabajo decente y crecimiento económico: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12 Producción y consumo responsables: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13 Acción por el clima: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Otros ODS materiales para 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6. SEMÁFORO GLOBAL Y CONCLUSIONES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financiera: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cliente: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procesos internos: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aprendizaje/personas: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sostenibilidad ESG: [ VERDE · ÁMBAR · ROJO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Top-3 alertas del período: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Top-3 éxitos del período: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APROBACIÓN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Elaborado por: [ Controller / Business Analytics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Revisado por: [ Director financiero / Director general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Aprobado por: [ CEO / Comité Dirección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Fecha: [ ___ / ___ / ___ 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