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2268"/>
            <w:shd w:fill="EC4899" w:val="clear"/>
          </w:tcPr>
          <w:p>
            <w:pPr>
              <w:spacing w:before="400" w:after="400"/>
              <w:jc w:val="center"/>
            </w:pPr>
            <w:r>
              <w:rPr>
                <w:b/>
                <w:color w:val="FFFFFF"/>
                <w:sz w:val="104"/>
              </w:rPr>
              <w:t>Σ</w:t>
            </w:r>
          </w:p>
        </w:tc>
        <w:tc>
          <w:tcPr>
            <w:tcW w:type="dxa" w:w="6803"/>
          </w:tcPr>
          <w:p>
            <w:pPr>
              <w:spacing w:before="400"/>
            </w:pPr>
            <w:r>
              <w:rPr>
                <w:b/>
                <w:color w:val="EC4899"/>
                <w:sz w:val="26"/>
              </w:rPr>
              <w:t xml:space="preserve">  CUADRO DE MANDO INTEGRAL (KPI DASHBOARD)</w:t>
            </w:r>
          </w:p>
          <w:p>
            <w:r>
              <w:rPr>
                <w:i/>
                <w:color w:val="4B5563"/>
                <w:sz w:val="22"/>
              </w:rPr>
              <w:t xml:space="preserve">  KPI DASHBOARD · OPERATIVO</w:t>
            </w:r>
          </w:p>
          <w:p>
            <w:pPr>
              <w:spacing w:after="400"/>
            </w:pPr>
            <w:r>
              <w:rPr>
                <w:color w:val="4B5563"/>
                <w:sz w:val="18"/>
              </w:rPr>
              <w:t xml:space="preserve">  Dashboard editable A4 · color · Lean · Toyota · Nakajima</w:t>
            </w:r>
          </w:p>
        </w:tc>
      </w:tr>
    </w:tbl>
    <w:p/>
    <w:p>
      <w:pPr>
        <w:spacing w:after="280" w:before="0"/>
        <w:jc w:val="left"/>
      </w:pPr>
      <w:r>
        <w:rPr>
          <w:b w:val="0"/>
          <w:i w:val="0"/>
          <w:color w:val="F4B400"/>
          <w:sz w:val="24"/>
        </w:rPr>
        <w:t>■  ●  ▲  ◆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(BSC Kaplan-Norton HBR 1992 · ISO 9004 · EFQM · OKR · Six Sigma DMAIC)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Empresa: [ Razón social ]  ·  Grupo: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Ámbito: [ Corporativo · Unidad de negocio · Departamento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Período: [ Mes / Trimestre / Año ___ /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Metodología: [ BSC Kaplan-Norton · OKR Google · EFQM · 6 Sigma DMAIC · combinación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Elaborado por: [ Controller / Director / CFO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1. PERSPECTIVA FINANCIERA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Rentabilidad: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ROI (Return on Investment):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ROE (Return on Equity):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ROA (Return on Assets):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Margen EBITDA: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Margen bruto: [ ___% ] · Objetivo [ ___% ] · Semáforo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Crecimiento: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Revenue growth YoY: [ ___% ] · Objetivo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CAGR 3 años (Compound Annual Growth Rate):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EVA (Economic Value Added):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Liquidez y solvencia: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Ratio corriente (activo corriente / pasivo corriente): [ __ 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Test ácido (activo corriente - existencias / pasivo corriente): [ __ 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PMC (Período Medio Cobro):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PMP (Período Medio Pago):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Días de tesorería (runway):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Ratio deuda / EBITDA: [ ___ x · objetivo &lt;3x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Cobertura de intereses (EBIT/intereses): [ ___ x · objetivo &gt;4x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2. PERSPECTIVA CLIENTE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Satisfacción y lealtad: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NPS (Net Promoter Score cliente): [ __ · rango -100 a +100 ]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CSAT (Customer Satisfaction):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CES (Customer Effort Score): [ __ · rango 1-7 ]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Cuota de mercado: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Retención de clientes: [ ___% · churn rate ___%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Adquisición comercial: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Revenue del período: [ ___ EUR ] · Objetivo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Nuevos clientes captados: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Ticket medio: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Pipeline total: [ ___ EUR ] · Weighted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Pipeline coverage ratio: [ __ x · objetivo 3-5x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Conversion rates (TOFU→MOFU · MOFU→BOFU · BOFU→cierre): [ __% · __% · 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Ciclo de venta medio: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LTV (Lifetime Value):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CAC (Cost of Acquisition):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Ratio LTV/CAC: [ ___ x · objetivo &gt;=3x según Skok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CAC payback period: [ ___ meses · objetivo &lt;=12 meses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Métricas SaaS (si aplica): ARR/MRR · NRR · Gross Revenue Retention (GRR)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3. PERSPECTIVA PROCESOS INTERNOS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Eficiencia operativa: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OEE (Overall Equipment Effectiveness) = Disponibilidad × Rendimiento × Calidad: [ ___% · objetivo &gt;=85% JIPM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Lead time (tiempo entrega):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On-time delivery: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Capacidad utilizada: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Productividad por FTE: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Calidad: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Defect rate: [ ___ ppm · objetivo &lt;100 ppm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First Time Right (FTR):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Coste calidad / no calidad: [ ___% del revenue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Reclamaciones cliente: [ ___ · Trend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ISO 9001:2015 non conformities: [ 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Mantenimiento e ingeniería: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MTBF (Mean Time Between Failures): [ ___ horas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MTTR (Mean Time To Repair): [ ___ horas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Availability = MTBF / (MTBF + MTTR):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Inventory turnover: [ ___ x/año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Days Inventory Outstanding (DIO): [ ___ días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Digital / tecnología (si aplica):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Uptime plataforma / SaaS: [ ___% · objetivo 99,9%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Response time medio: [ ___ ms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NPS producto / usabilidad: [ 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Time to market (features): [ ___ semanas/meses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4. PERSPECTIVA APRENDIZAJE Y CRECIMIENTO (BSC · Personas)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Talento: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FTE total: [ ___ personas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eNPS (employee Net Promoter Score, Reichheld/Bain): [ __ · objetivo &gt;20 ]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Engagement score: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Turnover rate anual: [ ___% · voluntario ___% / involuntario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Absenteeism rate: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Time to Hire (TTH):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Cost per Hire: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Desarrollo: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Horas formación / FTE: [ ___ h/año · objetivo &gt;=40h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plantilla con plan de desarrollo individual: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Promociones internas del período: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Diversidad (mujeres · &lt;30 años · discapacidad · seniority mix): [ ___% cada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Brecha salarial de género (RD 902/2020): [ ___%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Cultura e innovación: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Ideas presentadas por empleados (buzón sugerencias):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Ideas implementadas: [ ___ · ratio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Índice de innovación (revenue de productos &lt;3 años):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Certificaciones activas (ISO, EFQM, Great Place to Work):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5. PERSPECTIVA SOSTENIBILIDAD (ESG · CSRD UE 2022/2464)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Environmental (Ambiental):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Huella carbono Scope 1 (emisiones directas): [ ___ tCO2eq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Huella carbono Scope 2 (electricidad comprada): [ ___ tCO2eq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Huella carbono Scope 3 (cadena de valor · 70-90% total): [ ___ tCO2eq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Intensidad carbono: [ tCO2eq / M€ revenue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Consumo energético: [ ___ MWh · % renovable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Consumo agua: [ ___ m³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Residuos: [ ___ tn · % reciclados 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Social: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LTIFR (Lost Time Injury Frequency Rate): [ ___ · por millón horas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Accidentes con baja: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Formación seguridad/FTE: [ ___ h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mujeres en plantilla: [ ___% ] · en dirección: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personas con discapacidad: [ ___% · obligación LGDPD 2% &gt;50 FTE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Inversión comunidad (RSC): [ ___ EUR · % revenue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Governance: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Denuncias canal interno (Ley 2/2023): [ ___ · resueltas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Consejo con consejeros independientes: [ ___% · objetivo &gt;=1/3 según CNMV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mujeres en Consejo: [ ___% · objetivo 40% Ley 15/2022 desde 2026 ]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Certificación anticorrupción (ISO 37001): [ Sí · No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Rating ESG externo: [ MSCI ___ · Sustainalytics ___ · CDP ___ · DJSI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Alineación ODS Agenda 2030 (Objetivos de Desarrollo Sostenible ONU):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5 Igualdad de género: [ Impacto y avance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8 Trabajo decente y crecimiento económico: [ Impacto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12 Producción y consumo responsables: [ Impacto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13 Acción por el clima: [ Impacto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Otros ODS materiales para el sector: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6. SEMÁFORO GLOBAL Y CONCLUSIONES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financiera: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cliente: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procesos internos: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aprendizaje/personas: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sostenibilidad ESG: [ VERDE · ÁMBAR · ROJO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Top-3 alertas del período: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Top-3 éxitos del período: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Acciones inmediatas requeridas: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APROBACIÓN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Elaborado por: [ Controller / Business Analytics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Revisado por: [ Director financiero / Director general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Aprobado por: [ CEO / Comité Dirección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Fecha: [ ___ / ___ / ___ ]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