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638"/>
      </w:tblGrid>
      <w:tr>
        <w:tc>
          <w:tcPr>
            <w:tcW w:type="dxa" w:w="9071"/>
            <w:shd w:fill="1F4E79" w:val="clear"/>
          </w:tcPr>
          <w:p>
            <w:pPr>
              <w:spacing w:before="280" w:after="80"/>
            </w:pPr>
            <w:r>
              <w:rPr>
                <w:b/>
                <w:color w:val="FFFFFF"/>
                <w:sz w:val="28"/>
              </w:rPr>
              <w:t xml:space="preserve">  CUADRO DE MANDO INTEGRAL (KPI DASHBOARD)</w:t>
            </w:r>
          </w:p>
          <w:p>
            <w:pPr>
              <w:spacing w:after="280"/>
            </w:pPr>
            <w:r>
              <w:rPr>
                <w:color w:val="FFFFFF"/>
                <w:sz w:val="20"/>
              </w:rPr>
              <w:t xml:space="preserve">  KPI DASHBOARD · COMERCIAL</w:t>
            </w:r>
          </w:p>
        </w:tc>
      </w:tr>
    </w:tbl>
    <w:p/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(BSC Kaplan-Norton HBR 1992 · ISO 9004 · EFQM · OKR · Six Sigma DMAIC)</w:t>
      </w:r>
    </w:p>
    <w:p>
      <w:pPr>
        <w:spacing w:after="120" w:before="0"/>
        <w:jc w:val="left"/>
      </w:pPr>
      <w:r>
        <w:rPr>
          <w:b w:val="0"/>
          <w:i w:val="0"/>
          <w:color w:val="111111"/>
          <w:sz w:val="16"/>
        </w:rPr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Empresa: [ Razón social ]  ·  Grupo: [ ______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Ámbito: [ Corporativo · Unidad de negocio · Departamento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Período: [ Mes / Trimestre / Año ___ / ___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Metodología: [ BSC Kaplan-Norton · OKR Google · EFQM · 6 Sigma DMAIC · combinación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Elaborado por: [ Controller / Director / CFO ]</w:t>
      </w:r>
    </w:p>
    <w:p>
      <w:pPr>
        <w:spacing w:after="120" w:before="0"/>
        <w:jc w:val="left"/>
      </w:pPr>
      <w:r>
        <w:rPr>
          <w:b w:val="0"/>
          <w:i w:val="0"/>
          <w:color w:val="111111"/>
          <w:sz w:val="16"/>
        </w:rPr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1. PERSPECTIVA FINANCIERA (Balanced Scorecard)</w:t>
      </w:r>
    </w:p>
    <w:p>
      <w:pPr>
        <w:spacing w:after="120" w:before="0"/>
        <w:jc w:val="left"/>
      </w:pPr>
      <w:r>
        <w:rPr>
          <w:b w:val="0"/>
          <w:i w:val="0"/>
          <w:color w:val="111111"/>
          <w:sz w:val="16"/>
        </w:rPr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Rentabilidad: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ROI (Return on Investment): [ ___% ] · Objetivo [ ___% ] · Semáforo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ROE (Return on Equity): [ ___% ] · Objetivo [ ___% ] · Semáforo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ROA (Return on Assets): [ ___% ] · Objetivo [ ___% ] · Semáforo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Margen EBITDA: [ ___% ] · Objetivo [ ___% ] · Semáforo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Margen bruto: [ ___% ] · Objetivo [ ___% ] · Semáforo</w:t>
      </w:r>
    </w:p>
    <w:p>
      <w:pPr>
        <w:spacing w:after="120" w:before="0"/>
        <w:jc w:val="left"/>
      </w:pPr>
      <w:r>
        <w:rPr>
          <w:b w:val="0"/>
          <w:i w:val="0"/>
          <w:color w:val="111111"/>
          <w:sz w:val="16"/>
        </w:rPr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Crecimiento: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Revenue growth YoY: [ ___% ] · Objetivo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CAGR 3 años (Compound Annual Growth Rate): [ ___%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EVA (Economic Value Added): [ ___ EUR ]</w:t>
      </w:r>
    </w:p>
    <w:p>
      <w:pPr>
        <w:spacing w:after="120" w:before="0"/>
        <w:jc w:val="left"/>
      </w:pPr>
      <w:r>
        <w:rPr>
          <w:b w:val="0"/>
          <w:i w:val="0"/>
          <w:color w:val="111111"/>
          <w:sz w:val="16"/>
        </w:rPr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Liquidez y solvencia: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Ratio corriente (activo corriente / pasivo corriente): [ __ x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Test ácido (activo corriente - existencias / pasivo corriente): [ __ x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PMC (Período Medio Cobro): [ ___ días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PMP (Período Medio Pago): [ ___ días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Días de tesorería (runway): [ ___ días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Ratio deuda / EBITDA: [ ___ x · objetivo &lt;3x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Cobertura de intereses (EBIT/intereses): [ ___ x · objetivo &gt;4x ]</w:t>
      </w:r>
    </w:p>
    <w:p>
      <w:pPr>
        <w:spacing w:after="120" w:before="0"/>
        <w:jc w:val="left"/>
      </w:pPr>
      <w:r>
        <w:rPr>
          <w:b w:val="0"/>
          <w:i w:val="0"/>
          <w:color w:val="111111"/>
          <w:sz w:val="16"/>
        </w:rPr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2. PERSPECTIVA CLIENTE (Balanced Scorecard)</w:t>
      </w:r>
    </w:p>
    <w:p>
      <w:pPr>
        <w:spacing w:after="120" w:before="0"/>
        <w:jc w:val="left"/>
      </w:pPr>
      <w:r>
        <w:rPr>
          <w:b w:val="0"/>
          <w:i w:val="0"/>
          <w:color w:val="111111"/>
          <w:sz w:val="16"/>
        </w:rPr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Satisfacción y lealtad: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NPS (Net Promoter Score cliente): [ __ · rango -100 a +100 ]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CSAT (Customer Satisfaction): [ ___%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CES (Customer Effort Score): [ __ · rango 1-7 ]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Cuota de mercado: [ ___%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Retención de clientes: [ ___% · churn rate ___% ]</w:t>
      </w:r>
    </w:p>
    <w:p>
      <w:pPr>
        <w:spacing w:after="120" w:before="0"/>
        <w:jc w:val="left"/>
      </w:pPr>
      <w:r>
        <w:rPr>
          <w:b w:val="0"/>
          <w:i w:val="0"/>
          <w:color w:val="111111"/>
          <w:sz w:val="16"/>
        </w:rPr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Adquisición comercial: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Revenue del período: [ ___ EUR ] · Objetivo [ ___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Nuevos clientes captados: [ ___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Ticket medio: [ ___ EUR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Pipeline total: [ ___ EUR ] · Weighted [ ___ EUR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Pipeline coverage ratio: [ __ x · objetivo 3-5x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Conversion rates (TOFU→MOFU · MOFU→BOFU · BOFU→cierre): [ __% · __% · __%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Ciclo de venta medio: [ ___ días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LTV (Lifetime Value): [ ___ EUR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CAC (Cost of Acquisition): [ ___ EUR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Ratio LTV/CAC: [ ___ x · objetivo &gt;=3x según Skok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CAC payback period: [ ___ meses · objetivo &lt;=12 meses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Métricas SaaS (si aplica): ARR/MRR · NRR · Gross Revenue Retention (GRR)</w:t>
      </w:r>
    </w:p>
    <w:p>
      <w:pPr>
        <w:spacing w:after="120" w:before="0"/>
        <w:jc w:val="left"/>
      </w:pPr>
      <w:r>
        <w:rPr>
          <w:b w:val="0"/>
          <w:i w:val="0"/>
          <w:color w:val="111111"/>
          <w:sz w:val="16"/>
        </w:rPr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3. PERSPECTIVA PROCESOS INTERNOS (Balanced Scorecard)</w:t>
      </w:r>
    </w:p>
    <w:p>
      <w:pPr>
        <w:spacing w:after="120" w:before="0"/>
        <w:jc w:val="left"/>
      </w:pPr>
      <w:r>
        <w:rPr>
          <w:b w:val="0"/>
          <w:i w:val="0"/>
          <w:color w:val="111111"/>
          <w:sz w:val="16"/>
        </w:rPr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Eficiencia operativa: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OEE (Overall Equipment Effectiveness) = Disponibilidad × Rendimiento × Calidad: [ ___% · objetivo &gt;=85% JIPM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Lead time (tiempo entrega): [ ___ días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On-time delivery: [ ___%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Capacidad utilizada: [ ___%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Productividad por FTE: [ ___ EUR ]</w:t>
      </w:r>
    </w:p>
    <w:p>
      <w:pPr>
        <w:spacing w:after="120" w:before="0"/>
        <w:jc w:val="left"/>
      </w:pPr>
      <w:r>
        <w:rPr>
          <w:b w:val="0"/>
          <w:i w:val="0"/>
          <w:color w:val="111111"/>
          <w:sz w:val="16"/>
        </w:rPr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Calidad: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Defect rate: [ ___ ppm · objetivo &lt;100 ppm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First Time Right (FTR): [ ___%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Coste calidad / no calidad: [ ___% del revenue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Reclamaciones cliente: [ ___ · Trend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ISO 9001:2015 non conformities: [ ___ ]</w:t>
      </w:r>
    </w:p>
    <w:p>
      <w:pPr>
        <w:spacing w:after="120" w:before="0"/>
        <w:jc w:val="left"/>
      </w:pPr>
      <w:r>
        <w:rPr>
          <w:b w:val="0"/>
          <w:i w:val="0"/>
          <w:color w:val="111111"/>
          <w:sz w:val="16"/>
        </w:rPr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Mantenimiento e ingeniería: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MTBF (Mean Time Between Failures): [ ___ horas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MTTR (Mean Time To Repair): [ ___ horas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Availability = MTBF / (MTBF + MTTR): [ ___%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Inventory turnover: [ ___ x/año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Days Inventory Outstanding (DIO): [ ___ días ]</w:t>
      </w:r>
    </w:p>
    <w:p>
      <w:pPr>
        <w:spacing w:after="120" w:before="0"/>
        <w:jc w:val="left"/>
      </w:pPr>
      <w:r>
        <w:rPr>
          <w:b w:val="0"/>
          <w:i w:val="0"/>
          <w:color w:val="111111"/>
          <w:sz w:val="16"/>
        </w:rPr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Digital / tecnología (si aplica):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Uptime plataforma / SaaS: [ ___% · objetivo 99,9%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Response time medio: [ ___ ms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NPS producto / usabilidad: [ __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Time to market (features): [ ___ semanas/meses ]</w:t>
      </w:r>
    </w:p>
    <w:p>
      <w:pPr>
        <w:spacing w:after="120" w:before="0"/>
        <w:jc w:val="left"/>
      </w:pPr>
      <w:r>
        <w:rPr>
          <w:b w:val="0"/>
          <w:i w:val="0"/>
          <w:color w:val="111111"/>
          <w:sz w:val="16"/>
        </w:rPr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4. PERSPECTIVA APRENDIZAJE Y CRECIMIENTO (BSC · Personas)</w:t>
      </w:r>
    </w:p>
    <w:p>
      <w:pPr>
        <w:spacing w:after="120" w:before="0"/>
        <w:jc w:val="left"/>
      </w:pPr>
      <w:r>
        <w:rPr>
          <w:b w:val="0"/>
          <w:i w:val="0"/>
          <w:color w:val="111111"/>
          <w:sz w:val="16"/>
        </w:rPr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Talento: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FTE total: [ ___ personas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eNPS (employee Net Promoter Score, Reichheld/Bain): [ __ · objetivo &gt;20 ]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Engagement score: [ ___%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Turnover rate anual: [ ___% · voluntario ___% / involuntario ___%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Absenteeism rate: [ ___%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Time to Hire (TTH): [ ___ días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Cost per Hire: [ ___ EUR ]</w:t>
      </w:r>
    </w:p>
    <w:p>
      <w:pPr>
        <w:spacing w:after="120" w:before="0"/>
        <w:jc w:val="left"/>
      </w:pPr>
      <w:r>
        <w:rPr>
          <w:b w:val="0"/>
          <w:i w:val="0"/>
          <w:color w:val="111111"/>
          <w:sz w:val="16"/>
        </w:rPr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Desarrollo: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Horas formación / FTE: [ ___ h/año · objetivo &gt;=40h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% plantilla con plan de desarrollo individual: [ ___%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Promociones internas del período: [ ___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Diversidad (mujeres · &lt;30 años · discapacidad · seniority mix): [ ___% cada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Brecha salarial de género (RD 902/2020): [ ___% ]</w:t>
      </w:r>
    </w:p>
    <w:p>
      <w:pPr>
        <w:spacing w:after="120" w:before="0"/>
        <w:jc w:val="left"/>
      </w:pPr>
      <w:r>
        <w:rPr>
          <w:b w:val="0"/>
          <w:i w:val="0"/>
          <w:color w:val="111111"/>
          <w:sz w:val="16"/>
        </w:rPr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Cultura e innovación: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Ideas presentadas por empleados (buzón sugerencias): [ ___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Ideas implementadas: [ ___ · ratio ___%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Índice de innovación (revenue de productos &lt;3 años): [ ___%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Certificaciones activas (ISO, EFQM, Great Place to Work): [ ______ ]</w:t>
      </w:r>
    </w:p>
    <w:p>
      <w:pPr>
        <w:spacing w:after="120" w:before="0"/>
        <w:jc w:val="left"/>
      </w:pPr>
      <w:r>
        <w:rPr>
          <w:b w:val="0"/>
          <w:i w:val="0"/>
          <w:color w:val="111111"/>
          <w:sz w:val="16"/>
        </w:rPr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5. PERSPECTIVA SOSTENIBILIDAD (ESG · CSRD UE 2022/2464)</w:t>
      </w:r>
    </w:p>
    <w:p>
      <w:pPr>
        <w:spacing w:after="120" w:before="0"/>
        <w:jc w:val="left"/>
      </w:pPr>
      <w:r>
        <w:rPr>
          <w:b w:val="0"/>
          <w:i w:val="0"/>
          <w:color w:val="111111"/>
          <w:sz w:val="16"/>
        </w:rPr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Environmental (Ambiental):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Huella carbono Scope 1 (emisiones directas): [ ___ tCO2eq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Huella carbono Scope 2 (electricidad comprada): [ ___ tCO2eq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Huella carbono Scope 3 (cadena de valor · 70-90% total): [ ___ tCO2eq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Intensidad carbono: [ tCO2eq / M€ revenue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Consumo energético: [ ___ MWh · % renovable ___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Consumo agua: [ ___ m³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Residuos: [ ___ tn · % reciclados ___ ]</w:t>
      </w:r>
    </w:p>
    <w:p>
      <w:pPr>
        <w:spacing w:after="120" w:before="0"/>
        <w:jc w:val="left"/>
      </w:pPr>
      <w:r>
        <w:rPr>
          <w:b w:val="0"/>
          <w:i w:val="0"/>
          <w:color w:val="111111"/>
          <w:sz w:val="16"/>
        </w:rPr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Social: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LTIFR (Lost Time Injury Frequency Rate): [ ___ · por millón horas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Accidentes con baja: [ ___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Formación seguridad/FTE: [ ___ h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% mujeres en plantilla: [ ___% ] · en dirección: [ ___%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% personas con discapacidad: [ ___% · obligación LGDPD 2% &gt;50 FTE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Inversión comunidad (RSC): [ ___ EUR · % revenue ]</w:t>
      </w:r>
    </w:p>
    <w:p>
      <w:pPr>
        <w:spacing w:after="120" w:before="0"/>
        <w:jc w:val="left"/>
      </w:pPr>
      <w:r>
        <w:rPr>
          <w:b w:val="0"/>
          <w:i w:val="0"/>
          <w:color w:val="111111"/>
          <w:sz w:val="16"/>
        </w:rPr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Governance: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Denuncias canal interno (Ley 2/2023): [ ___ · resueltas ___%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% Consejo con consejeros independientes: [ ___% · objetivo &gt;=1/3 según CNMV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% mujeres en Consejo: [ ___% · objetivo 40% Ley 15/2022 desde 2026 ]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Certificación anticorrupción (ISO 37001): [ Sí · No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Rating ESG externo: [ MSCI ___ · Sustainalytics ___ · CDP ___ · DJSI ]</w:t>
      </w:r>
    </w:p>
    <w:p>
      <w:pPr>
        <w:spacing w:after="120" w:before="0"/>
        <w:jc w:val="left"/>
      </w:pPr>
      <w:r>
        <w:rPr>
          <w:b w:val="0"/>
          <w:i w:val="0"/>
          <w:color w:val="111111"/>
          <w:sz w:val="16"/>
        </w:rPr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Alineación ODS Agenda 2030 (Objetivos de Desarrollo Sostenible ONU):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ODS 5 Igualdad de género: [ Impacto y avance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ODS 8 Trabajo decente y crecimiento económico: [ Impacto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ODS 12 Producción y consumo responsables: [ Impacto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ODS 13 Acción por el clima: [ Impacto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Otros ODS materiales para el sector: [ ______ ]</w:t>
      </w:r>
    </w:p>
    <w:p>
      <w:pPr>
        <w:spacing w:after="120" w:before="0"/>
        <w:jc w:val="left"/>
      </w:pPr>
      <w:r>
        <w:rPr>
          <w:b w:val="0"/>
          <w:i w:val="0"/>
          <w:color w:val="111111"/>
          <w:sz w:val="16"/>
        </w:rPr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6. SEMÁFORO GLOBAL Y CONCLUSIONES</w:t>
      </w:r>
    </w:p>
    <w:p>
      <w:pPr>
        <w:spacing w:after="120" w:before="0"/>
        <w:jc w:val="left"/>
      </w:pPr>
      <w:r>
        <w:rPr>
          <w:b w:val="0"/>
          <w:i w:val="0"/>
          <w:color w:val="111111"/>
          <w:sz w:val="16"/>
        </w:rPr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Perspectiva financiera: [ VERDE · ÁMBAR · ROJO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Perspectiva cliente: [ VERDE · ÁMBAR · ROJO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Perspectiva procesos internos: [ VERDE · ÁMBAR · ROJO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Perspectiva aprendizaje/personas: [ VERDE · ÁMBAR · ROJO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Perspectiva sostenibilidad ESG: [ VERDE · ÁMBAR · ROJO ]</w:t>
      </w:r>
    </w:p>
    <w:p>
      <w:pPr>
        <w:spacing w:after="120" w:before="0"/>
        <w:jc w:val="left"/>
      </w:pPr>
      <w:r>
        <w:rPr>
          <w:b w:val="0"/>
          <w:i w:val="0"/>
          <w:color w:val="111111"/>
          <w:sz w:val="16"/>
        </w:rPr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Top-3 alertas del período: [ ______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Top-3 éxitos del período: [ ______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Acciones inmediatas requeridas: [ ______ ]</w:t>
      </w:r>
    </w:p>
    <w:p>
      <w:pPr>
        <w:spacing w:after="120" w:before="0"/>
        <w:jc w:val="left"/>
      </w:pPr>
      <w:r>
        <w:rPr>
          <w:b w:val="0"/>
          <w:i w:val="0"/>
          <w:color w:val="111111"/>
          <w:sz w:val="16"/>
        </w:rPr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APROBACIÓN</w:t>
      </w:r>
    </w:p>
    <w:p>
      <w:pPr>
        <w:spacing w:after="120" w:before="0"/>
        <w:jc w:val="left"/>
      </w:pPr>
      <w:r>
        <w:rPr>
          <w:b w:val="0"/>
          <w:i w:val="0"/>
          <w:color w:val="111111"/>
          <w:sz w:val="16"/>
        </w:rPr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Elaborado por: [ Controller / Business Analytics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Revisado por: [ Director financiero / Director general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Aprobado por: [ CEO / Comité Dirección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Fecha: [ ___ / ___ / ___ ]</w:t>
      </w:r>
    </w:p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