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Refuerzo de matemáticas</w:t>
      </w:r>
    </w:p>
    <w:p>
      <w:pPr>
        <w:spacing w:after="120"/>
      </w:pPr>
      <w:r>
        <w:rPr>
          <w:b w:val="0"/>
          <w:sz w:val="21"/>
        </w:rPr>
        <w:t>Separa la comprensión de la consigna, el procedimiento y la comprobación.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Explicar el procedimiento utilizado.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Refuerzo de matemáticas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