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 abierto sin color</w:t>
      </w:r>
    </w:p>
    <w:p>
      <w:pPr>
        <w:spacing w:after="120"/>
      </w:pPr>
      <w:r>
        <w:rPr>
          <w:b w:val="0"/>
          <w:sz w:val="21"/>
        </w:rPr>
        <w:t>Completa primero la evidencia inicial y decide después la actividad.</w:t>
      </w:r>
    </w:p>
    <w:p>
      <w:pPr>
        <w:spacing w:after="120"/>
      </w:pPr>
      <w:r>
        <w:rPr>
          <w:b w:val="0"/>
          <w:sz w:val="20"/>
        </w:rPr>
        <w:t>Alumno o código __________________  Área __________  Periodo __________</w:t>
      </w:r>
    </w:p>
    <w:p>
      <w:pPr>
        <w:spacing w:after="120"/>
      </w:pPr>
      <w:r>
        <w:rPr>
          <w:b w:val="0"/>
          <w:sz w:val="20"/>
        </w:rPr>
        <w:t>Responsable ______________________  Revisión prevista __________________</w:t>
      </w:r>
    </w:p>
    <w:p>
      <w:pPr>
        <w:pStyle w:val="Heading2"/>
        <w:spacing w:before="180" w:after="100"/>
      </w:pPr>
      <w:r>
        <w:t>Punto de partida</w:t>
      </w:r>
    </w:p>
    <w:p>
      <w:pPr>
        <w:spacing w:after="120"/>
      </w:pPr>
      <w:r>
        <w:rPr>
          <w:b/>
          <w:sz w:val="21"/>
        </w:rPr>
        <w:t>Evidencia inicial con fecha y tarea concreta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Objetivo del periodo</w:t>
      </w:r>
    </w:p>
    <w:p>
      <w:pPr>
        <w:spacing w:after="120"/>
      </w:pPr>
      <w:r>
        <w:rPr>
          <w:b w:val="0"/>
          <w:sz w:val="20"/>
        </w:rPr>
        <w:t>Foco orientativo: Objetivo observable del periodo. Adapta el objetivo a la tarea y al alumno.</w:t>
      </w:r>
    </w:p>
    <w:p>
      <w:pPr>
        <w:spacing w:after="120"/>
      </w:pPr>
      <w:r>
        <w:rPr>
          <w:b/>
          <w:sz w:val="21"/>
        </w:rPr>
        <w:t>Qué se espera observar y en qué situación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Actividades y apoyos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392"/>
        <w:gridCol w:w="2952"/>
        <w:gridCol w:w="2016"/>
      </w:tblGrid>
      <w:tr>
        <w:trPr>
          <w:trHeight w:val="547" w:hRule="atLeast"/>
          <w:cantSplit/>
          <w:tblHeader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Actividad</w:t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Apoyo o material</w:t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Cuándo</w:t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47" w:hRule="atLeast"/>
          <w:cantSplit/>
        </w:trPr>
        <w:tc>
          <w:tcPr>
            <w:tcW w:type="dxa" w:w="439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95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01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Registro de revisión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96"/>
        <w:gridCol w:w="4032"/>
        <w:gridCol w:w="4032"/>
      </w:tblGrid>
      <w:tr>
        <w:trPr>
          <w:trHeight w:val="562" w:hRule="atLeast"/>
          <w:cantSplit/>
          <w:tblHeader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Fecha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Evidencia observada</w:t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E9ECEF"/>
          </w:tcPr>
          <w:p>
            <w:pPr>
              <w:spacing w:after="40" w:before="40"/>
            </w:pPr>
            <w:r>
              <w:rPr>
                <w:b/>
                <w:color w:val="000000"/>
                <w:sz w:val="21"/>
              </w:rPr>
              <w:t>Siguiente decisión</w:t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562" w:hRule="atLeast"/>
          <w:cantSplit/>
        </w:trPr>
        <w:tc>
          <w:tcPr>
            <w:tcW w:type="dxa" w:w="12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403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spacing w:after="120"/>
      </w:pPr>
      <w:r>
        <w:rPr>
          <w:b w:val="0"/>
          <w:sz w:val="18"/>
        </w:rPr>
        <w:t>Decisión posible: mantener, ajustar o cerrar este objetivo. El formulario organiza el seguimiento y no sustituye una valoración profesional.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abierto sin color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