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Entrevista inicial</w:t>
      </w:r>
    </w:p>
    <w:p>
      <w:pPr>
        <w:spacing w:after="120"/>
      </w:pPr>
      <w:r>
        <w:rPr>
          <w:b w:val="0"/>
          <w:sz w:val="21"/>
        </w:rPr>
        <w:t>Anota fortalezas y una necesidad prioritaria; evita recoger información ajena a la tarea escolar.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Contexto y fortalezas</w:t>
      </w:r>
    </w:p>
    <w:p>
      <w:pPr>
        <w:spacing w:after="120"/>
      </w:pPr>
      <w:r>
        <w:rPr>
          <w:b/>
          <w:sz w:val="21"/>
        </w:rPr>
        <w:t>Qué facilita el trabajo del alumno o alumna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inicial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