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Tutoría por teléfono o videollamada</w:t>
      </w:r>
    </w:p>
    <w:p>
      <w:pPr>
        <w:spacing w:after="120"/>
      </w:pPr>
      <w:r>
        <w:rPr>
          <w:b w:val="0"/>
          <w:sz w:val="21"/>
        </w:rPr>
        <w:t>Confirma al terminar los acuerdos y el canal previsto para el siguiente contacto.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Canal y contexto de la conversación</w:t>
      </w:r>
    </w:p>
    <w:p>
      <w:pPr>
        <w:spacing w:after="120"/>
      </w:pPr>
      <w:r>
        <w:rPr>
          <w:b/>
          <w:sz w:val="21"/>
        </w:rPr>
        <w:t>Información compartida por ambas partes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Tutoría por teléfono o videollamada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