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4A148C"/>
          <w:sz w:val="36"/>
        </w:rPr>
        <w:t>Matriz de decision ponderada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Evaluacion objetiva de opciones mediante criterios con peso asignado</w:t>
      </w:r>
    </w:p>
    <w:p>
      <w:pPr>
        <w:spacing w:after="160"/>
        <w:jc w:val="left"/>
      </w:pPr>
      <w:r>
        <w:rPr>
          <w:rFonts w:ascii="Calibri" w:hAnsi="Calibri"/>
          <w:i/>
          <w:color w:val="666666"/>
          <w:sz w:val="18"/>
        </w:rPr>
        <w:t>Instrucciones: Puntua cada opcion del 1 al 10 en cada criterio. La puntuacion ponderada se calcula multiplicando la puntuacion por el peso (%). La opcion con mayor total ponderado es la mas adecuada.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>
        <w:tc>
          <w:tcPr>
            <w:tcW w:type="dxa" w:w="2381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Criterio</w:t>
            </w:r>
          </w:p>
        </w:tc>
        <w:tc>
          <w:tcPr>
            <w:tcW w:type="dxa" w:w="124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Peso (%)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A</w:t>
              <w:br/>
              <w:t>Punt.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A</w:t>
              <w:br/>
              <w:t>Ponderado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B</w:t>
              <w:br/>
              <w:t>Punt.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B</w:t>
              <w:br/>
              <w:t>Ponderado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C</w:t>
              <w:br/>
              <w:t>Punt.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  <w:r>
              <w:rPr>
                <w:rFonts w:ascii="Calibri" w:hAnsi="Calibri"/>
                <w:b/>
                <w:color w:val="FFFFFF"/>
                <w:sz w:val="18"/>
              </w:rPr>
              <w:t>Opcion C</w:t>
              <w:br/>
              <w:t>Ponderado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Coste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25%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1,75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2,00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1,25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Calidad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20%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1,60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6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1,20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9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1,80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Plazo de entrega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15%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6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0,90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9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1,35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1,05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Soporte tecnico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15%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1,05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0,75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1,20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Escalabilidad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10%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0,80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0,70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6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0,60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Reputacion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10%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6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0,60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0,80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0,70</w:t>
            </w:r>
          </w:p>
        </w:tc>
      </w:tr>
      <w:tr>
        <w:tc>
          <w:tcPr>
            <w:tcW w:type="dxa" w:w="2381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Integracion</w:t>
            </w:r>
          </w:p>
        </w:tc>
        <w:tc>
          <w:tcPr>
            <w:tcW w:type="dxa" w:w="124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5%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0,25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0,35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8</w:t>
            </w:r>
          </w:p>
        </w:tc>
        <w:tc>
          <w:tcPr>
            <w:tcW w:type="dxa" w:w="1587"/>
            <w:vAlign w:val="center"/>
            <w:tcBorders>
              <w:top w:val="single" w:sz="4" w:space="0" w:color="CE93D8"/>
              <w:left w:val="single" w:sz="4" w:space="0" w:color="CE93D8"/>
              <w:bottom w:val="single" w:sz="4" w:space="0" w:color="CE93D8"/>
              <w:right w:val="single" w:sz="4" w:space="0" w:color="CE93D8"/>
            </w:tcBorders>
            <w:shd w:fill="F3E5F5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4A148C"/>
                <w:sz w:val="20"/>
              </w:rPr>
              <w:t>0,40</w:t>
            </w:r>
          </w:p>
        </w:tc>
      </w:tr>
      <w:tr>
        <w:tc>
          <w:tcPr>
            <w:tcW w:type="dxa" w:w="2381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TOTAL</w:t>
            </w:r>
          </w:p>
        </w:tc>
        <w:tc>
          <w:tcPr>
            <w:tcW w:type="dxa" w:w="124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100%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6,95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7,15</w:t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</w:r>
          </w:p>
        </w:tc>
        <w:tc>
          <w:tcPr>
            <w:tcW w:type="dxa" w:w="1587"/>
            <w:shd w:fill="4A148C" w:val="clear"/>
            <w:vAlign w:val="center"/>
            <w:tcBorders>
              <w:top w:val="single" w:sz="6" w:space="0" w:color="4A148C"/>
              <w:left w:val="single" w:sz="6" w:space="0" w:color="4A148C"/>
              <w:bottom w:val="single" w:sz="6" w:space="0" w:color="4A148C"/>
              <w:right w:val="single" w:sz="6" w:space="0" w:color="4A148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7,00</w:t>
            </w:r>
          </w:p>
        </w:tc>
      </w:tr>
    </w:tbl>
    <w:p/>
    <w:p>
      <w:pPr>
        <w:spacing w:before="160"/>
      </w:pPr>
      <w:r>
        <w:rPr>
          <w:rFonts w:ascii="Calibri" w:hAnsi="Calibri"/>
          <w:b/>
          <w:color w:val="4A148C"/>
          <w:sz w:val="18"/>
        </w:rPr>
        <w:t xml:space="preserve">Leyenda: </w:t>
      </w:r>
      <w:r>
        <w:rPr>
          <w:rFonts w:ascii="Calibri" w:hAnsi="Calibri"/>
          <w:color w:val="666666"/>
          <w:sz w:val="18"/>
        </w:rPr>
        <w:t>Punt. = Puntuacion directa (1-10). Ponderado = Puntuacion x Peso / 100. La opcion con mayor total ponderado es la recomendada.</w:t>
      </w:r>
    </w:p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